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Warranty Callback Visit Report</w:t>
      </w:r>
    </w:p>
    <w:p>
      <w:r>
        <w:rPr>
          <w:b w:val="0"/>
          <w:i w:val="0"/>
          <w:color w:val="5B706A"/>
          <w:sz w:val="20"/>
        </w:rPr>
        <w:t>A warranty callback and service call report: the original job, the reported fault, what was found and the cause, whether it is covered, work done, parts, time on site, photos and the customer's signature.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Callback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Visit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Original job reference and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Fault reported by the customer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reported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from report to visit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Findings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was found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Cause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Our workmanship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Faulty product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Wear and tear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Customer misuse or damage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Not related to our work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Not known yet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Covered by our warranty or guarantee?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Product warranty claim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For consumers, section 49 of the Consumer Rights Act 2015 says a service must be performed with reasonable care and skill. If it is not, the consumer can require it to be performed again (section 55), within a reasonable time and at the trader's cost. For business customers, the Supply of Goods and Services Act 1982 (section 13) implies the same care and skill term.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Photos (fault and fix)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Work done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done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Parts used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 on site (hours)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Fixed     ☐ Return visit needed     ☐ Referred to the manufacturer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Return visit booked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visit chargeable?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cause is recorded as our workmanship. For a consumer, the trader bears the costs of putting the service right (Consumer Rights Act 2015, section 55).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Warranty Callback Visit Report. Printable copy from the SiteSurvey form library. Fill it in on a phone, with photos and signatures: sitesurvey.app/forms/service-call-report-template/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Warranty Callback Visit Report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