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Trailer Inspection</w:t>
      </w:r>
    </w:p>
    <w:p>
      <w:r>
        <w:rPr>
          <w:b w:val="0"/>
          <w:i w:val="0"/>
          <w:color w:val="5B706A"/>
          <w:sz w:val="20"/>
        </w:rPr>
        <w:t>A trailer walkaround record covering identification, coupling, braking connections, wheels, lights, bodywork, loading and defect reporting.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walkaround and defect record. It is not an MOT, a planned workshop safety inspection, a brake-performance test or an approval to tow an unsuitable combination.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DVSA guidance separates driver walkaround checks and defect reporting from planned safety inspections and maintenance. A trailer must not be used in an unroadworthy condition. Use the checks appropriate to the trailer, its operation and the responsible operator arrangements.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Trailer and combination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Trailer registration or fleet ID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Trailer type and configuration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Towing vehicle registration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Driver or checker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Responsible operator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 and safety inspection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Walkaround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Coupling and security devices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Brake and electrical connections checked where fitted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Wheels, tyres and visible fixings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Lights, reflectors and number plates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Body, doors and landing legs checked where fitted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 restraint, load distribution and visible damage reviewed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Defect decision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Were defects found?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 and action taken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Locate each defect precisely and record who received the report. Keep the repair decision separate from the observation.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notified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use was stopped where necessary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and recheck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Trailer Inspection. Printable copy from the SiteSurvey form library. Fill it in on a phone, with photos and signatures: sitesurvey.app/forms/trailer-inspection-checklist/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Trailer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