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Sprinkler Routine Inspection</w:t>
      </w:r>
    </w:p>
    <w:p>
      <w:r>
        <w:rPr>
          <w:b w:val="0"/>
          <w:i w:val="0"/>
          <w:color w:val="5B706A"/>
          <w:sz w:val="20"/>
        </w:rPr>
        <w:t>A sprinkler routine-check record with system identity, approved schedule, visual observations, authorised test references and impairment notifications.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For trained persons working within an approved routine schedule. This is not system commissioning, hydraulic design verification or permission to operate valves or disable protection.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BAFSA describes routine checks and specialist maintenance for sprinkler-protected buildings. Use the system’s applicable standard, approved schedule and competent contractor advice; routine observations do not replace specialist servicing.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System and schedule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System, protected area and responsible person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Applicable standard and maintenance schedule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Authorised procedure and checker training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Last specialist service and open defects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Routine observations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Visible heads and guards checked for damage or obstruction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Control valves observed in their documented normal state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Alarm panel and supply status observed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Protected areas checked for relevant storage or layout changes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Plant-room access and visible leaks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Tests and impairment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Authorised tests performed, results and report references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Impairment identified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No impairment identified within scope     ☐ Impairment or uncertainty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Affected areas, responsible person notified and interim measures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who was notified of an impairment, when and under which site procedure. Record restoration separately.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Specialist restoration and verification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Observed condition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Sprinkler Routine Inspection. Printable copy from the SiteSurvey form library. Fill it in on a phone, with photos and signatures: sitesurvey.app/forms/sprinkler-inspection-checklist/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Sprinkler Routine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