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Site Traffic Management Plan</w:t>
      </w:r>
    </w:p>
    <w:p>
      <w:r>
        <w:rPr>
          <w:b w:val="0"/>
          <w:i w:val="0"/>
          <w:color w:val="5B706A"/>
          <w:sz w:val="20"/>
        </w:rPr>
        <w:t>A site traffic plan record with vehicle routes, pedestrian separation, delivery controls, reversing arrangements and a briefing record.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a workplace traffic plan. It is not a highway traffic management design or permission to work on a public road.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guidance asks employers to consider route suitability, separation of vehicles and pedestrians, crossing points, visiting drivers, parking, lighting and visibility. One-way routes can reduce reversing and conflicting movements. The arrangements must suit the vehicles and actual site layout.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Vehicles and layout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site traffic routes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Vehicle types, delivery times and pedestrian activity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plan reference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Annotated route plan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Ground conditions, heights, widths and load restrictions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where vehicle movements conflict with people, neighbouring activities or access restrictions. Reference the affected route on the site plan.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Separation and movements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Pedestrian routes, barriers and controlled crossing points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Arrival instructions, booking and unloading areas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reversing is avoided or controlled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speed limits, signs and enforcement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Parking and emergency access arrangements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Walk-through check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Routes suitable for the expected vehicles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Pedestrian segregation and crossings in place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Lighting and visibility adequate for planned movements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Signs, markings and driver instructions in place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Briefing and changes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coordinating traffic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Drivers, contractors and staff briefed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Changes or temporary arrangements to review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Site Traffic Management Plan. Printable copy from the SiteSurvey form library. Fill it in on a phone, with photos and signatures: sitesurvey.app/forms/traffic-management-plan-template/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Traffic Management Plan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