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Loading and Unloading Check</w:t>
      </w:r>
    </w:p>
    <w:p>
      <w:r>
        <w:rPr>
          <w:b w:val="0"/>
          <w:i w:val="0"/>
          <w:color w:val="5B706A"/>
          <w:sz w:val="20"/>
        </w:rPr>
        <w:t>A loading and unloading readiness record covering vehicle position, segregation, load information, equipment, communication and controlled departure.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task readiness check, not a lift plan, dangerous-goods declaration, load-restraint design or automatic permission to move a vehicle.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guidance covers segregation, stable vehicles, suitable load distribution, equipment and preventing premature movement during loading or unloading. Assess the actual load, site and people involved.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Task and responsibilities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Load, vehicle/trailer and bay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Driver, loading lead and equipment operators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Risk assessment and agreed loading method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mass, dimensions and handling information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Before movement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Area segregated and uninvolved people clear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Ground, bay and vehicle deck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Vehicle brakes, stabilisers and movement prevention arranged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Handling equipment and load compatibility confirmed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Driver waiting place and communication agreed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Loading sequence and safe unloading considered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Completion and release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load security check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Damage, instability or other concerns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Describe a change or exception from the agreed plan and the resulting hold or review. Keep the observation separate from departure authority.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Held     ☐ Ready for authorised departure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Hold reason and responsible person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 authority, person and 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and area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Loading and Unloading Check. Printable copy from the SiteSurvey form library. Fill it in on a phone, with photos and signatures: sitesurvey.app/forms/loading-unloading-checklist/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and Unloading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