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Key Issue and Return Register</w:t>
      </w:r>
    </w:p>
    <w:p>
      <w:r>
        <w:rPr>
          <w:b w:val="0"/>
          <w:i w:val="0"/>
          <w:color w:val="5B706A"/>
          <w:sz w:val="20"/>
        </w:rPr>
        <w:t>A key and access-token register with item references, authorised holders, issue and return dates, acknowledgement and missing-item actions.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 custody record, not an electronic access-control system. It does not revoke a token or change a lock when an item is overdue or missing.</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ICO guidance says personal information should be relevant, limited to what is needed, kept secure and retained only as long as necessary. Protective security planning should define access responsibilities and procedures. Keep the register within those arrangements rather than sharing access details widely.</w:t>
            </w:r>
          </w:p>
        </w:tc>
      </w:tr>
    </w:tbl>
    <w:p>
      <w:pPr>
        <w:spacing w:after="0"/>
      </w:pPr>
    </w:p>
    <w:p>
      <w:pPr>
        <w:keepNext/>
        <w:spacing w:before="240"/>
      </w:pPr>
      <w:r>
        <w:rPr>
          <w:b/>
          <w:i w:val="0"/>
          <w:color w:val="1B5E52"/>
          <w:sz w:val="26"/>
        </w:rPr>
        <w:t>2. Access arrangements</w:t>
      </w:r>
    </w:p>
    <w:p>
      <w:pPr>
        <w:keepNext/>
        <w:spacing w:after="20"/>
        <w:ind w:left="0"/>
      </w:pPr>
      <w:r>
        <w:rPr>
          <w:b/>
          <w:i w:val="0"/>
          <w:sz w:val="19"/>
        </w:rPr>
        <w:t>Register custodian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Key control procedure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Who may authorise issue and access scope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Access controls and retention arrangements for this record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Issues and returns</w:t>
      </w:r>
    </w:p>
    <w:p>
      <w:pPr>
        <w:keepNext/>
        <w:ind w:left="0"/>
      </w:pPr>
      <w:r>
        <w:rPr>
          <w:b/>
          <w:i w:val="0"/>
          <w:sz w:val="21"/>
        </w:rPr>
        <w:t>Key or token</w:t>
      </w:r>
      <w:r>
        <w:rPr>
          <w:b w:val="0"/>
          <w:i w:val="0"/>
          <w:color w:val="5B706A"/>
          <w:sz w:val="16"/>
        </w:rPr>
        <w:t xml:space="preserve">  (copy this block for each one)</w:t>
      </w:r>
    </w:p>
    <w:p>
      <w:pPr>
        <w:keepNext/>
        <w:spacing w:after="20"/>
        <w:ind w:left="454"/>
      </w:pPr>
      <w:r>
        <w:rPr>
          <w:b/>
          <w:i w:val="0"/>
          <w:sz w:val="19"/>
        </w:rPr>
        <w:t>Key or token identifier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Holder name or staff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Issue authorised by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Date issued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Expected return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Holder issue acknowledgement</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454"/>
      </w:pPr>
      <w:r>
        <w:rPr>
          <w:b/>
          <w:i w:val="0"/>
          <w:sz w:val="19"/>
        </w:rPr>
        <w:t>Current state *</w:t>
      </w:r>
      <w:r>
        <w:rPr>
          <w:b w:val="0"/>
          <w:i w:val="0"/>
          <w:color w:val="5B706A"/>
          <w:sz w:val="16"/>
        </w:rPr>
        <w:t xml:space="preserve">  (choose one)</w:t>
      </w:r>
    </w:p>
    <w:p>
      <w:pPr>
        <w:ind w:left="454"/>
      </w:pPr>
      <w:r>
        <w:rPr>
          <w:b w:val="0"/>
          <w:i w:val="0"/>
          <w:sz w:val="19"/>
        </w:rPr>
        <w:t>☐ Issued     ☐ Returned     ☐ Missing     ☐ Damaged</w:t>
      </w:r>
    </w:p>
    <w:p>
      <w:pPr>
        <w:keepNext/>
        <w:spacing w:after="20"/>
        <w:ind w:left="454"/>
      </w:pPr>
      <w:r>
        <w:rPr>
          <w:b/>
          <w:i w:val="0"/>
          <w:sz w:val="19"/>
        </w:rPr>
        <w:t>Date returned *</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Return received by *</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Missing or damaged item action and escalation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Reconciliation</w:t>
      </w:r>
    </w:p>
    <w:p>
      <w:pPr>
        <w:keepNext/>
        <w:spacing w:after="20"/>
        <w:ind w:left="0"/>
      </w:pPr>
      <w:r>
        <w:rPr>
          <w:b/>
          <w:i w:val="0"/>
          <w:sz w:val="19"/>
        </w:rPr>
        <w:t>Outstanding items and reconciliation result</w:t>
      </w:r>
    </w:p>
    <w:p>
      <w:pPr>
        <w:spacing w:after="20"/>
        <w:ind w:left="0"/>
      </w:pPr>
      <w:r>
        <w:rPr>
          <w:b w:val="0"/>
          <w:i w:val="0"/>
          <w:color w:val="5B706A"/>
          <w:sz w:val="17"/>
        </w:rPr>
        <w:t>List unresolved movements with their issue reference and follow-up owner. Avoid recording access codes or unnecessary personal information.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Access cancellation, lock change or other action performed separately</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Reconciliation checked by</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Key Issue and Return Register. Printable copy from the SiteSurvey form library. Fill it in on a phone, with photos and signatures: sitesurvey.app/forms/key-register-template/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Issue and Return Register</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