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HHSRS Hazard Assessment</w:t>
      </w:r>
    </w:p>
    <w:p>
      <w:r>
        <w:rPr>
          <w:b w:val="0"/>
          <w:i w:val="0"/>
          <w:color w:val="5B706A"/>
          <w:sz w:val="20"/>
        </w:rPr>
        <w:t>An HHSRS hazard assessment on the June 2026 scheme: each of the 21 hazards with its deficiencies, likelihood, spread of harm, the reasons for the scores and the hazard score worked out by the formula, banded high, medium or low.</w:t>
      </w:r>
    </w:p>
    <w:p>
      <w:pPr>
        <w:keepNext/>
        <w:spacing w:before="240"/>
      </w:pPr>
      <w:r>
        <w:rPr>
          <w:b/>
          <w:i w:val="0"/>
          <w:color w:val="1B5E52"/>
          <w:sz w:val="26"/>
        </w:rPr>
        <w:t>1. Property</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Inspection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Assessor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Property type</w:t>
      </w:r>
      <w:r>
        <w:rPr>
          <w:b w:val="0"/>
          <w:i w:val="0"/>
          <w:color w:val="5B706A"/>
          <w:sz w:val="16"/>
        </w:rPr>
        <w:t xml:space="preserve">  (choose one)</w:t>
      </w:r>
    </w:p>
    <w:p>
      <w:pPr>
        <w:ind w:left="0"/>
      </w:pPr>
      <w:r>
        <w:rPr>
          <w:b w:val="0"/>
          <w:i w:val="0"/>
          <w:sz w:val="19"/>
        </w:rPr>
        <w:t>☐ House     ☐ Bungalow     ☐ Flat     ☐ Maisonette     ☐ HMO     ☐ Other</w:t>
      </w:r>
    </w:p>
    <w:p>
      <w:pPr>
        <w:keepNext/>
        <w:spacing w:after="20"/>
        <w:ind w:left="0"/>
      </w:pPr>
      <w:r>
        <w:rPr>
          <w:b/>
          <w:i w:val="0"/>
          <w:sz w:val="19"/>
        </w:rPr>
        <w:t>Age of the property</w:t>
      </w:r>
      <w:r>
        <w:rPr>
          <w:b w:val="0"/>
          <w:i w:val="0"/>
          <w:color w:val="5B706A"/>
          <w:sz w:val="16"/>
        </w:rPr>
        <w:t xml:space="preserve">  (choose one)</w:t>
      </w:r>
    </w:p>
    <w:p>
      <w:pPr>
        <w:ind w:left="0"/>
      </w:pPr>
      <w:r>
        <w:rPr>
          <w:b w:val="0"/>
          <w:i w:val="0"/>
          <w:sz w:val="19"/>
        </w:rPr>
        <w:t>☐ Before 1920     ☐ 1920 to 1945     ☐ 1946 to 1979     ☐ 1980 or later</w:t>
      </w:r>
    </w:p>
    <w:p>
      <w:pPr>
        <w:keepNext/>
        <w:spacing w:after="20"/>
        <w:ind w:left="0"/>
      </w:pPr>
      <w:r>
        <w:rPr>
          <w:b/>
          <w:i w:val="0"/>
          <w:sz w:val="19"/>
        </w:rPr>
        <w:t>Current household</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HHSRS Operating Guidance, June 2026 (England). For each hazard, judge the likelihood of a harmful occurrence that could need medical attention over the next 12 months for the most vulnerable age group, and the spread of harm across extreme, severe, serious and moderate, which adds up to 100%. The score is: 10,000 x extreme % + 1,000 x severe % + 300 x serious % + 10 x moderate %, each divided by the likelihood. 1,000 or more is high risk (Category 1); 100 to 999 medium; under 100 low.</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Scores are for a trained assessor working from Part 2 of the Operating Guidance and the national averages. This form does the arithmetic; the judgement is yours.</w:t>
            </w:r>
          </w:p>
        </w:tc>
      </w:tr>
    </w:tbl>
    <w:p>
      <w:pPr>
        <w:spacing w:after="0"/>
      </w:pPr>
    </w:p>
    <w:p>
      <w:pPr>
        <w:keepNext/>
        <w:spacing w:before="240"/>
      </w:pPr>
      <w:r>
        <w:rPr>
          <w:b/>
          <w:i w:val="0"/>
          <w:color w:val="1B5E52"/>
          <w:sz w:val="26"/>
        </w:rPr>
        <w:t>2. Hazards</w:t>
      </w:r>
    </w:p>
    <w:p>
      <w:pPr>
        <w:keepNext/>
        <w:ind w:left="0"/>
      </w:pPr>
      <w:r>
        <w:rPr>
          <w:b/>
          <w:i w:val="0"/>
          <w:sz w:val="21"/>
        </w:rPr>
        <w:t>Hazards assessed</w:t>
      </w:r>
      <w:r>
        <w:rPr>
          <w:b w:val="0"/>
          <w:i w:val="0"/>
          <w:color w:val="5B706A"/>
          <w:sz w:val="16"/>
        </w:rPr>
        <w:t xml:space="preserve">  (copy this block for each one)</w:t>
      </w:r>
    </w:p>
    <w:p>
      <w:pPr>
        <w:keepNext/>
        <w:spacing w:after="20"/>
        <w:ind w:left="454"/>
      </w:pPr>
      <w:r>
        <w:rPr>
          <w:b/>
          <w:i w:val="0"/>
          <w:sz w:val="19"/>
        </w:rPr>
        <w:t>Hazard *</w:t>
      </w:r>
      <w:r>
        <w:rPr>
          <w:b w:val="0"/>
          <w:i w:val="0"/>
          <w:color w:val="5B706A"/>
          <w:sz w:val="16"/>
        </w:rPr>
        <w:t xml:space="preserve">  (choose one)</w:t>
      </w:r>
    </w:p>
    <w:p>
      <w:pPr>
        <w:keepNext/>
        <w:spacing w:after="0"/>
        <w:ind w:left="454"/>
      </w:pPr>
      <w:r>
        <w:rPr>
          <w:b w:val="0"/>
          <w:i w:val="0"/>
          <w:sz w:val="19"/>
        </w:rPr>
        <w:t>☐ Falls on the level</w:t>
      </w:r>
    </w:p>
    <w:p>
      <w:pPr>
        <w:keepNext/>
        <w:spacing w:after="0"/>
        <w:ind w:left="454"/>
      </w:pPr>
      <w:r>
        <w:rPr>
          <w:b w:val="0"/>
          <w:i w:val="0"/>
          <w:sz w:val="19"/>
        </w:rPr>
        <w:t>☐ Falling on stairs etc.</w:t>
      </w:r>
    </w:p>
    <w:p>
      <w:pPr>
        <w:keepNext/>
        <w:spacing w:after="0"/>
        <w:ind w:left="454"/>
      </w:pPr>
      <w:r>
        <w:rPr>
          <w:b w:val="0"/>
          <w:i w:val="0"/>
          <w:sz w:val="19"/>
        </w:rPr>
        <w:t>☐ Falling between levels</w:t>
      </w:r>
    </w:p>
    <w:p>
      <w:pPr>
        <w:keepNext/>
        <w:spacing w:after="0"/>
        <w:ind w:left="454"/>
      </w:pPr>
      <w:r>
        <w:rPr>
          <w:b w:val="0"/>
          <w:i w:val="0"/>
          <w:sz w:val="19"/>
        </w:rPr>
        <w:t>☐ Fire and explosions</w:t>
      </w:r>
    </w:p>
    <w:p>
      <w:pPr>
        <w:keepNext/>
        <w:spacing w:after="0"/>
        <w:ind w:left="454"/>
      </w:pPr>
      <w:r>
        <w:rPr>
          <w:b w:val="0"/>
          <w:i w:val="0"/>
          <w:sz w:val="19"/>
        </w:rPr>
        <w:t>☐ Flames, hot surfaces, etc.</w:t>
      </w:r>
    </w:p>
    <w:p>
      <w:pPr>
        <w:keepNext/>
        <w:spacing w:after="0"/>
        <w:ind w:left="454"/>
      </w:pPr>
      <w:r>
        <w:rPr>
          <w:b w:val="0"/>
          <w:i w:val="0"/>
          <w:sz w:val="19"/>
        </w:rPr>
        <w:t>☐ Collisions, entrapment and ergonomics</w:t>
      </w:r>
    </w:p>
    <w:p>
      <w:pPr>
        <w:keepNext/>
        <w:spacing w:after="0"/>
        <w:ind w:left="454"/>
      </w:pPr>
      <w:r>
        <w:rPr>
          <w:b w:val="0"/>
          <w:i w:val="0"/>
          <w:sz w:val="19"/>
        </w:rPr>
        <w:t>☐ Structural collapse and falling elements</w:t>
      </w:r>
    </w:p>
    <w:p>
      <w:pPr>
        <w:keepNext/>
        <w:spacing w:after="0"/>
        <w:ind w:left="454"/>
      </w:pPr>
      <w:r>
        <w:rPr>
          <w:b w:val="0"/>
          <w:i w:val="0"/>
          <w:sz w:val="19"/>
        </w:rPr>
        <w:t>☐ Electrical hazards</w:t>
      </w:r>
    </w:p>
    <w:p>
      <w:pPr>
        <w:keepNext/>
        <w:spacing w:after="0"/>
        <w:ind w:left="454"/>
      </w:pPr>
      <w:r>
        <w:rPr>
          <w:b w:val="0"/>
          <w:i w:val="0"/>
          <w:sz w:val="19"/>
        </w:rPr>
        <w:t>☐ Excess cold</w:t>
      </w:r>
    </w:p>
    <w:p>
      <w:pPr>
        <w:keepNext/>
        <w:spacing w:after="0"/>
        <w:ind w:left="454"/>
      </w:pPr>
      <w:r>
        <w:rPr>
          <w:b w:val="0"/>
          <w:i w:val="0"/>
          <w:sz w:val="19"/>
        </w:rPr>
        <w:t>☐ Radiation</w:t>
      </w:r>
    </w:p>
    <w:p>
      <w:pPr>
        <w:keepNext/>
        <w:spacing w:after="0"/>
        <w:ind w:left="454"/>
      </w:pPr>
      <w:r>
        <w:rPr>
          <w:b w:val="0"/>
          <w:i w:val="0"/>
          <w:sz w:val="19"/>
        </w:rPr>
        <w:t>☐ Damp and mould growth</w:t>
      </w:r>
    </w:p>
    <w:p>
      <w:pPr>
        <w:keepNext/>
        <w:spacing w:after="0"/>
        <w:ind w:left="454"/>
      </w:pPr>
      <w:r>
        <w:rPr>
          <w:b w:val="0"/>
          <w:i w:val="0"/>
          <w:sz w:val="19"/>
        </w:rPr>
        <w:t>☐ Lead</w:t>
      </w:r>
    </w:p>
    <w:p>
      <w:pPr>
        <w:keepNext/>
        <w:spacing w:after="0"/>
        <w:ind w:left="454"/>
      </w:pPr>
      <w:r>
        <w:rPr>
          <w:b w:val="0"/>
          <w:i w:val="0"/>
          <w:sz w:val="19"/>
        </w:rPr>
        <w:t>☐ Indoor air pollutants</w:t>
      </w:r>
    </w:p>
    <w:p>
      <w:pPr>
        <w:keepNext/>
        <w:spacing w:after="0"/>
        <w:ind w:left="454"/>
      </w:pPr>
      <w:r>
        <w:rPr>
          <w:b w:val="0"/>
          <w:i w:val="0"/>
          <w:sz w:val="19"/>
        </w:rPr>
        <w:t>☐ Excess heat</w:t>
      </w:r>
    </w:p>
    <w:p>
      <w:pPr>
        <w:keepNext/>
        <w:spacing w:after="0"/>
        <w:ind w:left="454"/>
      </w:pPr>
      <w:r>
        <w:rPr>
          <w:b w:val="0"/>
          <w:i w:val="0"/>
          <w:sz w:val="19"/>
        </w:rPr>
        <w:t>☐ Asbestos and manufactured mineral fibres</w:t>
      </w:r>
    </w:p>
    <w:p>
      <w:pPr>
        <w:keepNext/>
        <w:spacing w:after="0"/>
        <w:ind w:left="454"/>
      </w:pPr>
      <w:r>
        <w:rPr>
          <w:b w:val="0"/>
          <w:i w:val="0"/>
          <w:sz w:val="19"/>
        </w:rPr>
        <w:t>☐ Domestic hygiene</w:t>
      </w:r>
    </w:p>
    <w:p>
      <w:pPr>
        <w:keepNext/>
        <w:spacing w:after="0"/>
        <w:ind w:left="454"/>
      </w:pPr>
      <w:r>
        <w:rPr>
          <w:b w:val="0"/>
          <w:i w:val="0"/>
          <w:sz w:val="19"/>
        </w:rPr>
        <w:t>☐ Water supply</w:t>
      </w:r>
    </w:p>
    <w:p>
      <w:pPr>
        <w:keepNext/>
        <w:spacing w:after="0"/>
        <w:ind w:left="454"/>
      </w:pPr>
      <w:r>
        <w:rPr>
          <w:b w:val="0"/>
          <w:i w:val="0"/>
          <w:sz w:val="19"/>
        </w:rPr>
        <w:t>☐ Crowding and space</w:t>
      </w:r>
    </w:p>
    <w:p>
      <w:pPr>
        <w:keepNext/>
        <w:spacing w:after="0"/>
        <w:ind w:left="454"/>
      </w:pPr>
      <w:r>
        <w:rPr>
          <w:b w:val="0"/>
          <w:i w:val="0"/>
          <w:sz w:val="19"/>
        </w:rPr>
        <w:t>☐ Entry by intruders</w:t>
      </w:r>
    </w:p>
    <w:p>
      <w:pPr>
        <w:keepNext/>
        <w:spacing w:after="0"/>
        <w:ind w:left="454"/>
      </w:pPr>
      <w:r>
        <w:rPr>
          <w:b w:val="0"/>
          <w:i w:val="0"/>
          <w:sz w:val="19"/>
        </w:rPr>
        <w:t>☐ Noise</w:t>
      </w:r>
    </w:p>
    <w:p>
      <w:pPr>
        <w:keepNext w:val="0"/>
        <w:spacing w:after="120"/>
        <w:ind w:left="454"/>
      </w:pPr>
      <w:r>
        <w:rPr>
          <w:b w:val="0"/>
          <w:i w:val="0"/>
          <w:sz w:val="19"/>
        </w:rPr>
        <w:t>☐ Lighting</w:t>
      </w:r>
    </w:p>
    <w:p>
      <w:pPr>
        <w:keepNext/>
        <w:spacing w:after="20"/>
        <w:ind w:left="454"/>
      </w:pPr>
      <w:r>
        <w:rPr>
          <w:b/>
          <w:i w:val="0"/>
          <w:sz w:val="19"/>
        </w:rPr>
        <w:t>Deficiencies found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Likelihood over the next 12 months *</w:t>
      </w:r>
      <w:r>
        <w:rPr>
          <w:b w:val="0"/>
          <w:i w:val="0"/>
          <w:color w:val="5B706A"/>
          <w:sz w:val="16"/>
        </w:rPr>
        <w:t xml:space="preserve">  (choose one)</w:t>
      </w:r>
    </w:p>
    <w:p>
      <w:pPr>
        <w:keepNext/>
        <w:spacing w:after="0"/>
        <w:ind w:left="454"/>
      </w:pPr>
      <w:r>
        <w:rPr>
          <w:b w:val="0"/>
          <w:i w:val="0"/>
          <w:sz w:val="19"/>
        </w:rPr>
        <w:t>☐ 1 in 1 (Very likely)</w:t>
      </w:r>
    </w:p>
    <w:p>
      <w:pPr>
        <w:keepNext/>
        <w:spacing w:after="0"/>
        <w:ind w:left="454"/>
      </w:pPr>
      <w:r>
        <w:rPr>
          <w:b w:val="0"/>
          <w:i w:val="0"/>
          <w:sz w:val="19"/>
        </w:rPr>
        <w:t>☐ 1 in 2 (Very likely)</w:t>
      </w:r>
    </w:p>
    <w:p>
      <w:pPr>
        <w:keepNext/>
        <w:spacing w:after="0"/>
        <w:ind w:left="454"/>
      </w:pPr>
      <w:r>
        <w:rPr>
          <w:b w:val="0"/>
          <w:i w:val="0"/>
          <w:sz w:val="19"/>
        </w:rPr>
        <w:t>☐ 1 in 3 (Very likely)</w:t>
      </w:r>
    </w:p>
    <w:p>
      <w:pPr>
        <w:keepNext/>
        <w:spacing w:after="0"/>
        <w:ind w:left="454"/>
      </w:pPr>
      <w:r>
        <w:rPr>
          <w:b w:val="0"/>
          <w:i w:val="0"/>
          <w:sz w:val="19"/>
        </w:rPr>
        <w:t>☐ 1 in 5 (Very likely)</w:t>
      </w:r>
    </w:p>
    <w:p>
      <w:pPr>
        <w:keepNext/>
        <w:spacing w:after="0"/>
        <w:ind w:left="454"/>
      </w:pPr>
      <w:r>
        <w:rPr>
          <w:b w:val="0"/>
          <w:i w:val="0"/>
          <w:sz w:val="19"/>
        </w:rPr>
        <w:t>☐ 1 in 10 (Likely)</w:t>
      </w:r>
    </w:p>
    <w:p>
      <w:pPr>
        <w:keepNext/>
        <w:spacing w:after="0"/>
        <w:ind w:left="454"/>
      </w:pPr>
      <w:r>
        <w:rPr>
          <w:b w:val="0"/>
          <w:i w:val="0"/>
          <w:sz w:val="19"/>
        </w:rPr>
        <w:t>☐ 1 in 20 (Likely)</w:t>
      </w:r>
    </w:p>
    <w:p>
      <w:pPr>
        <w:keepNext/>
        <w:spacing w:after="0"/>
        <w:ind w:left="454"/>
      </w:pPr>
      <w:r>
        <w:rPr>
          <w:b w:val="0"/>
          <w:i w:val="0"/>
          <w:sz w:val="19"/>
        </w:rPr>
        <w:t>☐ 1 in 30 (Likely)</w:t>
      </w:r>
    </w:p>
    <w:p>
      <w:pPr>
        <w:keepNext/>
        <w:spacing w:after="0"/>
        <w:ind w:left="454"/>
      </w:pPr>
      <w:r>
        <w:rPr>
          <w:b w:val="0"/>
          <w:i w:val="0"/>
          <w:sz w:val="19"/>
        </w:rPr>
        <w:t>☐ 1 in 50 (Likely)</w:t>
      </w:r>
    </w:p>
    <w:p>
      <w:pPr>
        <w:keepNext/>
        <w:spacing w:after="0"/>
        <w:ind w:left="454"/>
      </w:pPr>
      <w:r>
        <w:rPr>
          <w:b w:val="0"/>
          <w:i w:val="0"/>
          <w:sz w:val="19"/>
        </w:rPr>
        <w:t>☐ 1 in 100 (Unlikely)</w:t>
      </w:r>
    </w:p>
    <w:p>
      <w:pPr>
        <w:keepNext/>
        <w:spacing w:after="0"/>
        <w:ind w:left="454"/>
      </w:pPr>
      <w:r>
        <w:rPr>
          <w:b w:val="0"/>
          <w:i w:val="0"/>
          <w:sz w:val="19"/>
        </w:rPr>
        <w:t>☐ 1 in 200 (Unlikely)</w:t>
      </w:r>
    </w:p>
    <w:p>
      <w:pPr>
        <w:keepNext/>
        <w:spacing w:after="0"/>
        <w:ind w:left="454"/>
      </w:pPr>
      <w:r>
        <w:rPr>
          <w:b w:val="0"/>
          <w:i w:val="0"/>
          <w:sz w:val="19"/>
        </w:rPr>
        <w:t>☐ 1 in 300 (Unlikely)</w:t>
      </w:r>
    </w:p>
    <w:p>
      <w:pPr>
        <w:keepNext/>
        <w:spacing w:after="0"/>
        <w:ind w:left="454"/>
      </w:pPr>
      <w:r>
        <w:rPr>
          <w:b w:val="0"/>
          <w:i w:val="0"/>
          <w:sz w:val="19"/>
        </w:rPr>
        <w:t>☐ 1 in 500 (Unlikely)</w:t>
      </w:r>
    </w:p>
    <w:p>
      <w:pPr>
        <w:keepNext/>
        <w:spacing w:after="0"/>
        <w:ind w:left="454"/>
      </w:pPr>
      <w:r>
        <w:rPr>
          <w:b w:val="0"/>
          <w:i w:val="0"/>
          <w:sz w:val="19"/>
        </w:rPr>
        <w:t>☐ 1 in 1,000 (Very unlikely)</w:t>
      </w:r>
    </w:p>
    <w:p>
      <w:pPr>
        <w:keepNext/>
        <w:spacing w:after="0"/>
        <w:ind w:left="454"/>
      </w:pPr>
      <w:r>
        <w:rPr>
          <w:b w:val="0"/>
          <w:i w:val="0"/>
          <w:sz w:val="19"/>
        </w:rPr>
        <w:t>☐ 1 in 2,000 (Very unlikely)</w:t>
      </w:r>
    </w:p>
    <w:p>
      <w:pPr>
        <w:keepNext/>
        <w:spacing w:after="0"/>
        <w:ind w:left="454"/>
      </w:pPr>
      <w:r>
        <w:rPr>
          <w:b w:val="0"/>
          <w:i w:val="0"/>
          <w:sz w:val="19"/>
        </w:rPr>
        <w:t>☐ 1 in 3,000 (Very unlikely)</w:t>
      </w:r>
    </w:p>
    <w:p>
      <w:pPr>
        <w:keepNext w:val="0"/>
        <w:spacing w:after="120"/>
        <w:ind w:left="454"/>
      </w:pPr>
      <w:r>
        <w:rPr>
          <w:b w:val="0"/>
          <w:i w:val="0"/>
          <w:sz w:val="19"/>
        </w:rPr>
        <w:t>☐ Under 1 in 5,000 (Very unlikely)</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Spread of harm: choose a scale point (0, 0.1, 0.2, 0.5, 1, 2, 5, 10, 20, 30 or 50%) for three classes and give the remainder to the fourth, usually moderate.</w:t>
            </w:r>
          </w:p>
        </w:tc>
      </w:tr>
    </w:tbl>
    <w:p>
      <w:pPr>
        <w:spacing w:after="0"/>
      </w:pPr>
    </w:p>
    <w:p>
      <w:pPr>
        <w:keepNext/>
        <w:spacing w:after="20"/>
        <w:ind w:left="454"/>
      </w:pPr>
      <w:r>
        <w:rPr>
          <w:b/>
          <w:i w:val="0"/>
          <w:sz w:val="19"/>
        </w:rPr>
        <w:t>Extreme harm (%)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Severe harm (%)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Serious harm (%)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Moderate harm (%) *</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The spread of harm must add up to 100%. Check the four classes.</w:t>
            </w:r>
          </w:p>
        </w:tc>
      </w:tr>
    </w:tbl>
    <w:p>
      <w:pPr>
        <w:spacing w:after="0"/>
      </w:pPr>
    </w:p>
    <w:p>
      <w:pPr>
        <w:keepNext/>
        <w:spacing w:after="20"/>
        <w:ind w:left="454"/>
      </w:pPr>
      <w:r>
        <w:rPr>
          <w:b/>
          <w:i w:val="0"/>
          <w:sz w:val="19"/>
        </w:rPr>
        <w:t>Reasons for the likelihood and spread of harm *</w:t>
      </w:r>
    </w:p>
    <w:p>
      <w:pPr>
        <w:spacing w:after="20"/>
        <w:ind w:left="454"/>
      </w:pPr>
      <w:r>
        <w:rPr>
          <w:b w:val="0"/>
          <w:i w:val="0"/>
          <w:color w:val="5B706A"/>
          <w:sz w:val="17"/>
        </w:rPr>
        <w:t>Compare with the national average for this type and age of property in Part 2, and say why the scores differ.</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Hazard score</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High risk: Category 1 hazard. The local council has a duty to take action.</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Medium risk: Category 2 hazard. The council has discretion to act.</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454"/>
            </w:pPr>
            <w:r>
              <w:rPr>
                <w:b w:val="0"/>
                <w:i w:val="0"/>
                <w:sz w:val="18"/>
              </w:rPr>
              <w:t>If applicable: Low risk: Category 2 hazard.</w:t>
            </w:r>
          </w:p>
        </w:tc>
      </w:tr>
    </w:tbl>
    <w:p>
      <w:pPr>
        <w:spacing w:after="0"/>
      </w:pPr>
    </w:p>
    <w:p>
      <w:pPr>
        <w:keepNext/>
        <w:spacing w:after="20"/>
        <w:ind w:left="454"/>
      </w:pPr>
      <w:r>
        <w:rPr>
          <w:b/>
          <w:i w:val="0"/>
          <w:sz w:val="19"/>
        </w:rPr>
        <w:t>Works to remove or reduce the hazard</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Category 1 hazards</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Actions and sign-off</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HHSRS Hazard Assessment. Printable copy from the SiteSurvey form library. Fill it in on a phone, with photos and signatures: sitesurvey.app/forms/hhsrs-inspection-form/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HHSRS Hazard Assessment</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