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Grease Trap Maintenance Log</w:t>
      </w:r>
    </w:p>
    <w:p>
      <w:r>
        <w:rPr>
          <w:b w:val="0"/>
          <w:i w:val="0"/>
          <w:color w:val="5B706A"/>
          <w:sz w:val="20"/>
        </w:rPr>
        <w:t>A grease trap service log recording asset condition, cleaning and removal work, waste handling references, restored operation and maintenance follow-up.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maintenance record, not a discharge consent, waste transfer document or confined-space entry permit. It gives no authority to discharge collected waste to drains.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 H addresses drainage in England, while government pollution guidance covers preventing business pollution. Use the installed separator instructions, discharge conditions and waste arrangements to plan servicing.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Asset and service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Trap or separator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service procedure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Drainage and discharge-condition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access and isolation arrangements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Service observations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Covers and access arrangements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grease and solids accumulation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Baffles and accessible components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Inlet and outlet condition checked within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Leakage and overflow indicators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Removal and restoration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Material removed and estimated quantity/unit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contractor and collection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waste documentation reference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Link the removed material to the relevant collection or transfer record. Record uncertainties in quantity or destination rather than filling them by assumption.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 and reinstatement performed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Before and after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Grease Trap Maintenance Log. Printable copy from the SiteSurvey form library. Fill it in on a phone, with photos and signatures: sitesurvey.app/forms/grease-trap-cleaning-log/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Grease Trap Maintenance Log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