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First Aid Needs Assessment</w:t>
      </w:r>
    </w:p>
    <w:p>
      <w:r>
        <w:rPr>
          <w:b w:val="0"/>
          <w:i w:val="0"/>
          <w:color w:val="5B706A"/>
          <w:sz w:val="20"/>
        </w:rPr>
        <w:t>A first aid needs record covering work hazards, staffing and shifts, absence cover, remote work, equipment, facilities and agreed provision.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the employer assessment and rationale. It does not give a universal staffing ratio, provide clinical advice or certify first-aider competence.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says first aid provision should be adequate and appropriate for the circumstances. A needs assessment informs the equipment, facilities and personnel required. HSE also says the findings do not have to be written down, although a record helps explain the arrangements chosen.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Work and people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activities and hazards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Typical number of workers present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Shifts, lone work, remote work and travel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Relevant accident and incident patterns without identifiable patient details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Contractors, visitors and public who may need help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Access and cover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 to emergency medical services and site directions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Cover for absence, holidays and each shift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Consider the working pattern and gaps in coverage rather than recording only a headcount. Identify arrangements that need confirmation.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Arrangements on shared or multi-occupancy sites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Site-specific first aid risks or provision needs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Provision decided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First-aiders or appointed persons and basis for the decision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Equipment and kit locations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Facilities and communication arrangements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Training requirements and evidence references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triggers and person responsible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First Aid Needs Assessment. Printable copy from the SiteSurvey form library. Fill it in on a phone, with photos and signatures: sitesurvey.app/forms/first-aid-needs-assessment-template/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Aid Needs Assessment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