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Eyewash Station Check</w:t>
      </w:r>
    </w:p>
    <w:p>
      <w:r>
        <w:rPr>
          <w:b w:val="0"/>
          <w:i w:val="0"/>
          <w:color w:val="5B706A"/>
          <w:sz w:val="20"/>
        </w:rPr>
        <w:t>An eyewash readiness record covering station identity, access, equipment condition, fluid dates, authorised checks and arrangements for defects.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records equipment readiness. It is not medical treatment advice, an ANSI or EN conformity certificate, or a universal flushing and testing procedure.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first-aid guidance requires provision to reflect assessed needs. COSHH assessment addresses hazardous-substance exposure. Select and maintain suitable eyewash equipment for the actual hazards and manufacturer instructions.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Station and risk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Station ID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Station type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Sealed bottles     ☐ Plumbed eyewash     ☐ Other approved unit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Hazard assessment and first-aid needs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Manufacturer checking procedure and frequency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Readiness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Station is identifiable and accessible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Unit, covers and nozzles visibly clean and intact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Sealed fluid labels and expiry dates checked where applicable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Operating instructions and reporting route available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Checks and replenishment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Fluid batch and expiry record where applicable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Authorised operational check, actual result and procedure reference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Items replaced and disposal reference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Record the affected item, expiry or defect and the replacement evidence. Use the installed equipment instructions to define the check.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Next check under local schedule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Use decision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Available within recorded limits     ☐ Restricted use     ☐ Out of service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Restrictions, isolation and person informed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Repair or follow-up job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 and defect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Eyewash Station Check. Printable copy from the SiteSurvey form library. Fill it in on a phone, with photos and signatures: sitesurvey.app/forms/eyewash-station-checklist/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Eyewash Station Check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