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Emergency Shower Inspection</w:t>
      </w:r>
    </w:p>
    <w:p>
      <w:r>
        <w:rPr>
          <w:b w:val="0"/>
          <w:i w:val="0"/>
          <w:color w:val="5B706A"/>
          <w:sz w:val="20"/>
        </w:rPr>
        <w:t>An emergency shower readiness record covering station access, condition, approved test results, water-supply concerns, defects and follow-up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equipment readiness record, not medical advice, an ANSI or EN certificate, or a universal test frequency or flushing procedure.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first-aid and COSHH guidance link provision to assessed workplace needs and hazardous substances. Use the equipment instructions and site risk assessment to define checks and escalation.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Station and procedure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Station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Hazards and risk assessment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checking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checking schedule and responsible person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the installed equipment instructions and site-assessed schedule. Record who owns the schedule and unresolved access or supply concerns.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Readiness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route and operating space clear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Station markings and operating instructions visible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Actuator and shower head visibly intact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Supply and drainage visibly checked within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Privacy and cold-weather arrangements checked where required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Authorised test and restoration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 performed and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Actual result, units and acceptance criterion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Supply quality or temperature concerns and referral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Restored condition and next scheduled check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Emergency Shower Inspection. Printable copy from the SiteSurvey form library. Fill it in on a phone, with photos and signatures: sitesurvey.app/forms/emergency-shower-inspection-checklist/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Shower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