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Calibration and Verification Record</w:t>
      </w:r>
    </w:p>
    <w:p>
      <w:r>
        <w:rPr>
          <w:b w:val="0"/>
          <w:i w:val="0"/>
          <w:color w:val="5B706A"/>
          <w:sz w:val="20"/>
        </w:rPr>
        <w:t>A measurement-equipment record linking instrument identity, calibration certificates, check results, acceptance decisions and out-of-tolerance follow-up.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calibration evidence and internal verification. It does not generate traceability, calculate measurement uncertainty or confer UKAS accreditation.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UKAS assesses calibration laboratories for competence within their accredited scope. Check the relevant scope and issued certificate. An internal record linking results is not itself an accredited calibration certificate.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Instrument and method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Instrument ID, model and serial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instrument label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Measurement range and intended use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Calibration or verification method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Provider and relevant accreditation scope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Evidence and results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Issued certificate, date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Reference standard and traceability record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Environmental conditions and method limitations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Measurement point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Reported uncertainty and certificate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Disposition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Instrument disposition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Accepted for stated use     ☐ Restricted use     ☐ Quarantined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Out-of-tolerance impact, affected prior measurements and action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Acceptance basis and decision rule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how the acceptance decision accounts for the specified requirement and measurement uncertainty. Record the agreed rule rather than assuming one.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review or calibration due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Status label and responsible owner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Calibration and Verification Record. Printable copy from the SiteSurvey form library. Fill it in on a phone, with photos and signatures: sitesurvey.app/forms/calibration-record-template/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Calibration and Verification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