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Awaab's Law Hazard Record</w:t>
      </w:r>
    </w:p>
    <w:p>
      <w:r>
        <w:rPr>
          <w:b w:val="0"/>
          <w:i w:val="0"/>
          <w:color w:val="5B706A"/>
          <w:sz w:val="20"/>
        </w:rPr>
        <w:t>An Awaab's Law hazard record for social landlords: the report, triage, investigation, rooms affected, the written summary, safety and preventative work and every update to the tenant, against the fixed timeframes.</w:t>
      </w:r>
    </w:p>
    <w:p>
      <w:pPr>
        <w:keepNext/>
        <w:spacing w:before="240"/>
      </w:pPr>
      <w:r>
        <w:rPr>
          <w:b/>
          <w:i w:val="0"/>
          <w:color w:val="1B5E52"/>
          <w:sz w:val="26"/>
        </w:rPr>
        <w:t>1. Report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landlord became aware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Tenant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Tenant phone or email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Reported by</w:t>
      </w:r>
      <w:r>
        <w:rPr>
          <w:b w:val="0"/>
          <w:i w:val="0"/>
          <w:color w:val="5B706A"/>
          <w:sz w:val="16"/>
        </w:rPr>
        <w:t xml:space="preserve">  (choose one)</w:t>
      </w:r>
    </w:p>
    <w:p>
      <w:pPr>
        <w:ind w:left="0"/>
      </w:pPr>
      <w:r>
        <w:rPr>
          <w:b w:val="0"/>
          <w:i w:val="0"/>
          <w:sz w:val="19"/>
        </w:rPr>
        <w:t>☐ Tenant     ☐ Contractor or staff on a visit     ☐ Third party     ☐ Other</w:t>
      </w:r>
    </w:p>
    <w:p>
      <w:pPr>
        <w:keepNext/>
        <w:spacing w:after="20"/>
        <w:ind w:left="0"/>
      </w:pPr>
      <w:r>
        <w:rPr>
          <w:b/>
          <w:i w:val="0"/>
          <w:sz w:val="19"/>
        </w:rPr>
        <w:t>What was reported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anyone in the household have a health condition or vulnerability that raises the risk?</w:t>
      </w:r>
    </w:p>
    <w:p>
      <w:pPr>
        <w:ind w:left="0"/>
      </w:pPr>
      <w:r>
        <w:rPr>
          <w:b w:val="0"/>
          <w:i w:val="0"/>
          <w:sz w:val="19"/>
        </w:rPr>
        <w:t>☐ Yes     ☐ No</w:t>
      </w:r>
    </w:p>
    <w:p>
      <w:pPr>
        <w:keepNext/>
        <w:spacing w:after="20"/>
        <w:ind w:left="0"/>
      </w:pPr>
      <w:r>
        <w:rPr>
          <w:b/>
          <w:i w:val="0"/>
          <w:sz w:val="19"/>
        </w:rPr>
        <w:t>What is it, and how does it affect the risk?</w:t>
      </w:r>
      <w:r>
        <w:rPr>
          <w:b w:val="0"/>
          <w:i w:val="0"/>
          <w:color w:val="5B706A"/>
          <w:sz w:val="16"/>
        </w:rPr>
        <w:t xml:space="preserve">  (if applicable)</w:t>
      </w:r>
    </w:p>
    <w:p>
      <w:pPr>
        <w:spacing w:after="20"/>
        <w:ind w:left="0"/>
      </w:pPr>
      <w:r>
        <w:rPr>
          <w:b w:val="0"/>
          <w:i w:val="0"/>
          <w:color w:val="5B706A"/>
          <w:sz w:val="17"/>
        </w:rPr>
        <w:t>UK GDPR places special restrictions on recording health information. Record only what the triage needs.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Awaab's Law timeframes. Emergency hazards: investigate and complete the relevant safety work within 24 hours. Significant hazards: investigate within 10 working days of becoming aware, send the tenant a written summary within 3 working days of the investigation concluding, and complete the relevant safety work within 5 working days of it. For both, begin (or take steps to begin) the supplementary preventative work within 5 working days of the investigation; if it cannot begin then, it must begin as soon as reasonably practicable and within 12 weeks.</w:t>
            </w:r>
          </w:p>
        </w:tc>
      </w:tr>
    </w:tbl>
    <w:p>
      <w:pPr>
        <w:spacing w:after="0"/>
      </w:pPr>
    </w:p>
    <w:p>
      <w:pPr>
        <w:keepNext/>
        <w:spacing w:before="240"/>
      </w:pPr>
      <w:r>
        <w:rPr>
          <w:b/>
          <w:i w:val="0"/>
          <w:color w:val="1B5E52"/>
          <w:sz w:val="26"/>
        </w:rPr>
        <w:t>2. Triage</w:t>
      </w:r>
    </w:p>
    <w:p>
      <w:pPr>
        <w:keepNext/>
        <w:spacing w:after="20"/>
        <w:ind w:left="0"/>
      </w:pPr>
      <w:r>
        <w:rPr>
          <w:b/>
          <w:i w:val="0"/>
          <w:sz w:val="19"/>
        </w:rPr>
        <w:t>Initial view *</w:t>
      </w:r>
      <w:r>
        <w:rPr>
          <w:b w:val="0"/>
          <w:i w:val="0"/>
          <w:color w:val="5B706A"/>
          <w:sz w:val="16"/>
        </w:rPr>
        <w:t xml:space="preserve">  (choose one)</w:t>
      </w:r>
    </w:p>
    <w:p>
      <w:pPr>
        <w:keepNext/>
        <w:spacing w:after="0"/>
        <w:ind w:left="0"/>
      </w:pPr>
      <w:r>
        <w:rPr>
          <w:b w:val="0"/>
          <w:i w:val="0"/>
          <w:sz w:val="19"/>
        </w:rPr>
        <w:t>☐ Potential emergency hazard</w:t>
      </w:r>
    </w:p>
    <w:p>
      <w:pPr>
        <w:keepNext/>
        <w:spacing w:after="0"/>
        <w:ind w:left="0"/>
      </w:pPr>
      <w:r>
        <w:rPr>
          <w:b w:val="0"/>
          <w:i w:val="0"/>
          <w:sz w:val="19"/>
        </w:rPr>
        <w:t>☐ Potential significant hazard</w:t>
      </w:r>
    </w:p>
    <w:p>
      <w:pPr>
        <w:keepNext w:val="0"/>
        <w:spacing w:after="120"/>
        <w:ind w:left="0"/>
      </w:pPr>
      <w:r>
        <w:rPr>
          <w:b w:val="0"/>
          <w:i w:val="0"/>
          <w:sz w:val="19"/>
        </w:rPr>
        <w:t>☐ Routine repair, not a significant hazard</w:t>
      </w:r>
    </w:p>
    <w:p>
      <w:pPr>
        <w:keepNext/>
        <w:spacing w:after="20"/>
        <w:ind w:left="0"/>
      </w:pPr>
      <w:r>
        <w:rPr>
          <w:b/>
          <w:i w:val="0"/>
          <w:sz w:val="19"/>
        </w:rPr>
        <w:t>Hazard</w:t>
      </w:r>
      <w:r>
        <w:rPr>
          <w:b w:val="0"/>
          <w:i w:val="0"/>
          <w:color w:val="5B706A"/>
          <w:sz w:val="16"/>
        </w:rPr>
        <w:t xml:space="preserve">  (choose one)</w:t>
      </w:r>
    </w:p>
    <w:p>
      <w:pPr>
        <w:keepNext/>
        <w:spacing w:after="0"/>
        <w:ind w:left="0"/>
      </w:pPr>
      <w:r>
        <w:rPr>
          <w:b w:val="0"/>
          <w:i w:val="0"/>
          <w:sz w:val="19"/>
        </w:rPr>
        <w:t>☐ Damp and mould growth</w:t>
      </w:r>
    </w:p>
    <w:p>
      <w:pPr>
        <w:keepNext/>
        <w:spacing w:after="0"/>
        <w:ind w:left="0"/>
      </w:pPr>
      <w:r>
        <w:rPr>
          <w:b w:val="0"/>
          <w:i w:val="0"/>
          <w:sz w:val="19"/>
        </w:rPr>
        <w:t>☐ Excess cold</w:t>
      </w:r>
    </w:p>
    <w:p>
      <w:pPr>
        <w:keepNext/>
        <w:spacing w:after="0"/>
        <w:ind w:left="0"/>
      </w:pPr>
      <w:r>
        <w:rPr>
          <w:b w:val="0"/>
          <w:i w:val="0"/>
          <w:sz w:val="19"/>
        </w:rPr>
        <w:t>☐ Excess heat</w:t>
      </w:r>
    </w:p>
    <w:p>
      <w:pPr>
        <w:keepNext/>
        <w:spacing w:after="0"/>
        <w:ind w:left="0"/>
      </w:pPr>
      <w:r>
        <w:rPr>
          <w:b w:val="0"/>
          <w:i w:val="0"/>
          <w:sz w:val="19"/>
        </w:rPr>
        <w:t>☐ Falls (on the level, on stairs or between levels)</w:t>
      </w:r>
    </w:p>
    <w:p>
      <w:pPr>
        <w:keepNext/>
        <w:spacing w:after="0"/>
        <w:ind w:left="0"/>
      </w:pPr>
      <w:r>
        <w:rPr>
          <w:b w:val="0"/>
          <w:i w:val="0"/>
          <w:sz w:val="19"/>
        </w:rPr>
        <w:t>☐ Structural collapse and falling elements</w:t>
      </w:r>
    </w:p>
    <w:p>
      <w:pPr>
        <w:keepNext/>
        <w:spacing w:after="0"/>
        <w:ind w:left="0"/>
      </w:pPr>
      <w:r>
        <w:rPr>
          <w:b w:val="0"/>
          <w:i w:val="0"/>
          <w:sz w:val="19"/>
        </w:rPr>
        <w:t>☐ Fire and explosions</w:t>
      </w:r>
    </w:p>
    <w:p>
      <w:pPr>
        <w:keepNext/>
        <w:spacing w:after="0"/>
        <w:ind w:left="0"/>
      </w:pPr>
      <w:r>
        <w:rPr>
          <w:b w:val="0"/>
          <w:i w:val="0"/>
          <w:sz w:val="19"/>
        </w:rPr>
        <w:t>☐ Electrical hazards</w:t>
      </w:r>
    </w:p>
    <w:p>
      <w:pPr>
        <w:keepNext/>
        <w:spacing w:after="0"/>
        <w:ind w:left="0"/>
      </w:pPr>
      <w:r>
        <w:rPr>
          <w:b w:val="0"/>
          <w:i w:val="0"/>
          <w:sz w:val="19"/>
        </w:rPr>
        <w:t>☐ Domestic hygiene</w:t>
      </w:r>
    </w:p>
    <w:p>
      <w:pPr>
        <w:keepNext w:val="0"/>
        <w:spacing w:after="120"/>
        <w:ind w:left="0"/>
      </w:pPr>
      <w:r>
        <w:rPr>
          <w:b w:val="0"/>
          <w:i w:val="0"/>
          <w:sz w:val="19"/>
        </w:rPr>
        <w:t>☐ Other</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Phase 1 (from 27 October 2025) covers all emergency hazards and significant damp and mould hazards. Phase 2, from 30 November 2026, extends the significant hazard requirements to excess cold, excess heat, falls, structural collapse, fire and explosions, electrical hazards and domestic hygiene.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Emergency. The investigation and the safety work must both happen within 24 hours.</w:t>
            </w:r>
          </w:p>
        </w:tc>
      </w:tr>
    </w:tbl>
    <w:p>
      <w:pPr>
        <w:spacing w:after="0"/>
      </w:pPr>
    </w:p>
    <w:p>
      <w:pPr>
        <w:keepNext/>
        <w:spacing w:after="20"/>
        <w:ind w:left="0"/>
      </w:pPr>
      <w:r>
        <w:rPr>
          <w:b/>
          <w:i w:val="0"/>
          <w:sz w:val="19"/>
        </w:rPr>
        <w:t>Triaged by</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Investigation</w:t>
      </w:r>
    </w:p>
    <w:p>
      <w:pPr>
        <w:keepNext/>
        <w:spacing w:after="20"/>
        <w:ind w:left="0"/>
      </w:pPr>
      <w:r>
        <w:rPr>
          <w:b/>
          <w:i w:val="0"/>
          <w:sz w:val="19"/>
        </w:rPr>
        <w:t>Investigation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Calendar days since the landlord became aware</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investigation date is before the date the landlord became aware. Check the dates.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Over 24 hours for an emergency hazard.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investigation was the day after. Check the times are within 24 hours.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Check this is within 10 working days of the landlord becoming aware (day one is the day after). Calendar days are shown above.</w:t>
            </w:r>
          </w:p>
        </w:tc>
      </w:tr>
    </w:tbl>
    <w:p>
      <w:pPr>
        <w:spacing w:after="0"/>
      </w:pPr>
    </w:p>
    <w:p>
      <w:pPr>
        <w:keepNext/>
        <w:spacing w:after="20"/>
        <w:ind w:left="0"/>
      </w:pPr>
      <w:r>
        <w:rPr>
          <w:b/>
          <w:i w:val="0"/>
          <w:sz w:val="19"/>
        </w:rPr>
        <w:t>Investigated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Finding *</w:t>
      </w:r>
      <w:r>
        <w:rPr>
          <w:b w:val="0"/>
          <w:i w:val="0"/>
          <w:color w:val="5B706A"/>
          <w:sz w:val="16"/>
        </w:rPr>
        <w:t xml:space="preserve">  (choose one)</w:t>
      </w:r>
    </w:p>
    <w:p>
      <w:pPr>
        <w:ind w:left="0"/>
      </w:pPr>
      <w:r>
        <w:rPr>
          <w:b w:val="0"/>
          <w:i w:val="0"/>
          <w:sz w:val="19"/>
        </w:rPr>
        <w:t>☐ Emergency hazard     ☐ Significant hazard     ☐ No significant or emergency hazard</w:t>
      </w:r>
    </w:p>
    <w:p>
      <w:pPr>
        <w:keepNext/>
        <w:ind w:left="0"/>
      </w:pPr>
      <w:r>
        <w:rPr>
          <w:b/>
          <w:i w:val="0"/>
          <w:sz w:val="21"/>
        </w:rPr>
        <w:t>Rooms affected</w:t>
      </w:r>
      <w:r>
        <w:rPr>
          <w:b w:val="0"/>
          <w:i w:val="0"/>
          <w:color w:val="5B706A"/>
          <w:sz w:val="16"/>
        </w:rPr>
        <w:t xml:space="preserve">  (copy this block for each one; if applicable)</w:t>
      </w:r>
    </w:p>
    <w:p>
      <w:pPr>
        <w:keepNext/>
        <w:spacing w:after="20"/>
        <w:ind w:left="454"/>
      </w:pPr>
      <w:r>
        <w:rPr>
          <w:b/>
          <w:i w:val="0"/>
          <w:sz w:val="19"/>
        </w:rPr>
        <w:t>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was found and the likely cause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Moisture reading</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Written summary</w:t>
      </w:r>
    </w:p>
    <w:p>
      <w:pPr>
        <w:keepNext/>
        <w:spacing w:after="20"/>
        <w:ind w:left="0"/>
      </w:pPr>
      <w:r>
        <w:rPr>
          <w:b/>
          <w:i w:val="0"/>
          <w:sz w:val="19"/>
        </w:rPr>
        <w:t>Date the written summary was sent to the tenant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Calendar days after the investigation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 summary includes</w:t>
      </w:r>
      <w:r>
        <w:rPr>
          <w:b w:val="0"/>
          <w:i w:val="0"/>
          <w:color w:val="5B706A"/>
          <w:sz w:val="16"/>
        </w:rPr>
        <w:t xml:space="preserve">  (tick all that apply)</w:t>
      </w:r>
    </w:p>
    <w:p>
      <w:pPr>
        <w:keepNext/>
        <w:spacing w:after="0"/>
        <w:ind w:left="0"/>
      </w:pPr>
      <w:r>
        <w:rPr>
          <w:b w:val="0"/>
          <w:i w:val="0"/>
          <w:sz w:val="19"/>
        </w:rPr>
        <w:t>☐ Whether a significant or emergency hazard was found, and what it is</w:t>
      </w:r>
    </w:p>
    <w:p>
      <w:pPr>
        <w:keepNext/>
        <w:spacing w:after="0"/>
        <w:ind w:left="0"/>
      </w:pPr>
      <w:r>
        <w:rPr>
          <w:b w:val="0"/>
          <w:i w:val="0"/>
          <w:sz w:val="19"/>
        </w:rPr>
        <w:t>☐ The action to be taken, with target dates to begin and complete it</w:t>
      </w:r>
    </w:p>
    <w:p>
      <w:pPr>
        <w:keepNext/>
        <w:spacing w:after="0"/>
        <w:ind w:left="0"/>
      </w:pPr>
      <w:r>
        <w:rPr>
          <w:b w:val="0"/>
          <w:i w:val="0"/>
          <w:sz w:val="19"/>
        </w:rPr>
        <w:t>☐ If no action, that none is required and why</w:t>
      </w:r>
    </w:p>
    <w:p>
      <w:pPr>
        <w:keepNext w:val="0"/>
        <w:spacing w:after="120"/>
        <w:ind w:left="0"/>
      </w:pPr>
      <w:r>
        <w:rPr>
          <w:b w:val="0"/>
          <w:i w:val="0"/>
          <w:sz w:val="19"/>
        </w:rPr>
        <w:t>☐ How to contact the landlord</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written summary must say whether a significant or emergency hazard was found and what it is; the action to be taken with target dates to begin and complete it, or that no action is required and why; and how to contact the landlord. It is sent within 3 working days of the investigation concluding. It is not needed if all the work is finished within those 3 working days, but the tenant must be told the work is done.</w:t>
            </w:r>
          </w:p>
        </w:tc>
      </w:tr>
    </w:tbl>
    <w:p>
      <w:pPr>
        <w:spacing w:after="0"/>
      </w:pPr>
    </w:p>
    <w:p>
      <w:pPr>
        <w:keepNext/>
        <w:spacing w:before="240"/>
      </w:pPr>
      <w:r>
        <w:rPr>
          <w:b/>
          <w:i w:val="0"/>
          <w:color w:val="1B5E52"/>
          <w:sz w:val="26"/>
        </w:rPr>
        <w:t>5. Works</w:t>
      </w:r>
    </w:p>
    <w:p>
      <w:pPr>
        <w:keepNext/>
        <w:spacing w:after="20"/>
        <w:ind w:left="0"/>
      </w:pPr>
      <w:r>
        <w:rPr>
          <w:b/>
          <w:i w:val="0"/>
          <w:sz w:val="19"/>
        </w:rPr>
        <w:t>Relevant safety work</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work completed on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Could the safety work be done within the timeframe?</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If safety work cannot be completed in time, the landlord must secure suitable alternative accommodation for the household, at its own expense.</w:t>
            </w:r>
          </w:p>
        </w:tc>
      </w:tr>
    </w:tbl>
    <w:p>
      <w:pPr>
        <w:spacing w:after="0"/>
      </w:pPr>
    </w:p>
    <w:p>
      <w:pPr>
        <w:keepNext/>
        <w:spacing w:after="20"/>
        <w:ind w:left="0"/>
      </w:pPr>
      <w:r>
        <w:rPr>
          <w:b/>
          <w:i w:val="0"/>
          <w:sz w:val="19"/>
        </w:rPr>
        <w:t>Alternative accommodation arranged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Supplementary preventative work to stop it coming back</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Preventative work started on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Preventative work completed on</w:t>
      </w:r>
      <w:r>
        <w:rPr>
          <w:b w:val="0"/>
          <w:i w:val="0"/>
          <w:color w:val="5B706A"/>
          <w:sz w:val="16"/>
        </w:rPr>
        <w:t xml:space="preserve">  (if applicable)</w:t>
      </w:r>
    </w:p>
    <w:p>
      <w:pPr>
        <w:spacing w:after="20"/>
        <w:ind w:left="0"/>
      </w:pPr>
      <w:r>
        <w:rPr>
          <w:b w:val="0"/>
          <w:i w:val="0"/>
          <w:color w:val="5B706A"/>
          <w:sz w:val="17"/>
        </w:rPr>
        <w:t>The regulations require it to be completed within a reasonable time.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Tenant updates</w:t>
      </w:r>
    </w:p>
    <w:p>
      <w:pPr>
        <w:keepNext/>
        <w:ind w:left="0"/>
      </w:pPr>
      <w:r>
        <w:rPr>
          <w:b/>
          <w:i w:val="0"/>
          <w:sz w:val="21"/>
        </w:rPr>
        <w:t>Updates to the tenant</w:t>
      </w:r>
      <w:r>
        <w:rPr>
          <w:b w:val="0"/>
          <w:i w:val="0"/>
          <w:color w:val="5B706A"/>
          <w:sz w:val="16"/>
        </w:rPr>
        <w:t xml:space="preserve">  (copy this block for each one)</w:t>
      </w:r>
    </w:p>
    <w:p>
      <w:pPr>
        <w:keepNext/>
        <w:spacing w:after="20"/>
        <w:ind w:left="454"/>
      </w:pPr>
      <w:r>
        <w:rPr>
          <w:b/>
          <w:i w:val="0"/>
          <w:sz w:val="19"/>
        </w:rPr>
        <w:t>Date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w:t>
      </w:r>
      <w:r>
        <w:rPr>
          <w:b w:val="0"/>
          <w:i w:val="0"/>
          <w:color w:val="5B706A"/>
          <w:sz w:val="16"/>
        </w:rPr>
        <w:t xml:space="preserve">  (choose one)</w:t>
      </w:r>
    </w:p>
    <w:p>
      <w:pPr>
        <w:ind w:left="454"/>
      </w:pPr>
      <w:r>
        <w:rPr>
          <w:b w:val="0"/>
          <w:i w:val="0"/>
          <w:sz w:val="19"/>
        </w:rPr>
        <w:t>☐ Phone     ☐ Email     ☐ Letter     ☐ Text     ☐ In person</w:t>
      </w:r>
    </w:p>
    <w:p>
      <w:pPr>
        <w:keepNext/>
        <w:spacing w:after="20"/>
        <w:ind w:left="454"/>
      </w:pPr>
      <w:r>
        <w:rPr>
          <w:b/>
          <w:i w:val="0"/>
          <w:sz w:val="19"/>
        </w:rPr>
        <w:t>What was said, including how to keep safe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Status *</w:t>
      </w:r>
      <w:r>
        <w:rPr>
          <w:b w:val="0"/>
          <w:i w:val="0"/>
          <w:color w:val="5B706A"/>
          <w:sz w:val="16"/>
        </w:rPr>
        <w:t xml:space="preserve">  (choose one)</w:t>
      </w:r>
    </w:p>
    <w:p>
      <w:pPr>
        <w:ind w:left="0"/>
      </w:pPr>
      <w:r>
        <w:rPr>
          <w:b w:val="0"/>
          <w:i w:val="0"/>
          <w:sz w:val="19"/>
        </w:rPr>
        <w:t>☐ Open     ☐ Safety work done, preventative work open     ☐ Closed</w:t>
      </w:r>
    </w:p>
    <w:p>
      <w:pPr>
        <w:keepNext/>
        <w:spacing w:after="20"/>
        <w:ind w:left="0"/>
      </w:pPr>
      <w:r>
        <w:rPr>
          <w:b/>
          <w:i w:val="0"/>
          <w:sz w:val="19"/>
        </w:rPr>
        <w:t>Closed by</w:t>
      </w:r>
    </w:p>
    <w:p>
      <w:pPr>
        <w:keepNext w:val="0"/>
        <w:spacing w:after="120"/>
        <w:ind w:left="0"/>
      </w:pPr>
      <w:r>
        <w:rPr>
          <w:b w:val="0"/>
          <w:i w:val="0"/>
          <w:color w:val="9FB1A3"/>
          <w:sz w:val="19"/>
        </w:rPr>
        <w:t>______________________________________________________________________________</w:t>
      </w: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Awaab's Law Hazard Record. Printable copy from the SiteSurvey form library. Fill it in on a phone, with photos and signatures: sitesurvey.app/forms/awaabs-law-repair-record/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Awaab's Law Hazard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